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2B58" w14:textId="05DAC2F9" w:rsidR="00F37D7A" w:rsidRPr="00F37D7A" w:rsidRDefault="00F37D7A" w:rsidP="00F37D7A">
      <w:pPr>
        <w:rPr>
          <w:bCs/>
          <w:sz w:val="28"/>
          <w:szCs w:val="28"/>
        </w:rPr>
      </w:pPr>
      <w:r w:rsidRPr="00F37D7A">
        <w:rPr>
          <w:bCs/>
          <w:sz w:val="28"/>
          <w:szCs w:val="28"/>
        </w:rPr>
        <w:t>ASSOCIATION OF ANIMAL AND PLANT PROTEIN INTAKE WITH ALL-CAUSE AND CAUSE-SPECIFIC MORTALITY</w:t>
      </w:r>
      <w:bookmarkStart w:id="0" w:name="_GoBack"/>
      <w:bookmarkEnd w:id="0"/>
    </w:p>
    <w:p w14:paraId="7FC0B46B" w14:textId="648E451A" w:rsidR="00F37D7A" w:rsidRPr="00F37D7A" w:rsidRDefault="00F37D7A" w:rsidP="00F37D7A">
      <w:pPr>
        <w:rPr>
          <w:sz w:val="24"/>
          <w:szCs w:val="24"/>
        </w:rPr>
      </w:pPr>
      <w:proofErr w:type="spellStart"/>
      <w:r w:rsidRPr="00F37D7A">
        <w:rPr>
          <w:sz w:val="24"/>
          <w:szCs w:val="24"/>
        </w:rPr>
        <w:t>Mingyang</w:t>
      </w:r>
      <w:proofErr w:type="spellEnd"/>
      <w:r w:rsidRPr="00F37D7A">
        <w:rPr>
          <w:sz w:val="24"/>
          <w:szCs w:val="24"/>
        </w:rPr>
        <w:t> Song, MD, ScD</w:t>
      </w:r>
      <w:r w:rsidRPr="00F37D7A">
        <w:rPr>
          <w:sz w:val="24"/>
          <w:szCs w:val="24"/>
          <w:vertAlign w:val="superscript"/>
        </w:rPr>
        <w:t>1,2</w:t>
      </w:r>
      <w:r w:rsidRPr="00F37D7A">
        <w:rPr>
          <w:sz w:val="24"/>
          <w:szCs w:val="24"/>
        </w:rPr>
        <w:t>; Teresa T. Fung, ScD</w:t>
      </w:r>
      <w:r w:rsidRPr="00F37D7A">
        <w:rPr>
          <w:sz w:val="24"/>
          <w:szCs w:val="24"/>
          <w:vertAlign w:val="superscript"/>
        </w:rPr>
        <w:t>2,3</w:t>
      </w:r>
      <w:r w:rsidRPr="00F37D7A">
        <w:rPr>
          <w:sz w:val="24"/>
          <w:szCs w:val="24"/>
        </w:rPr>
        <w:t>; Frank B. Hu, MD, PhD</w:t>
      </w:r>
      <w:r w:rsidRPr="00F37D7A">
        <w:rPr>
          <w:sz w:val="24"/>
          <w:szCs w:val="24"/>
          <w:vertAlign w:val="superscript"/>
        </w:rPr>
        <w:t>2,4,5</w:t>
      </w:r>
      <w:r w:rsidRPr="00F37D7A">
        <w:rPr>
          <w:sz w:val="24"/>
          <w:szCs w:val="24"/>
        </w:rPr>
        <w:t xml:space="preserve">; et </w:t>
      </w:r>
      <w:proofErr w:type="spellStart"/>
      <w:r w:rsidRPr="00F37D7A">
        <w:rPr>
          <w:sz w:val="24"/>
          <w:szCs w:val="24"/>
        </w:rPr>
        <w:t>alWalter</w:t>
      </w:r>
      <w:proofErr w:type="spellEnd"/>
      <w:r w:rsidRPr="00F37D7A">
        <w:rPr>
          <w:sz w:val="24"/>
          <w:szCs w:val="24"/>
        </w:rPr>
        <w:t xml:space="preserve"> C. Willett, MD, DrPH</w:t>
      </w:r>
      <w:r w:rsidRPr="00F37D7A">
        <w:rPr>
          <w:sz w:val="24"/>
          <w:szCs w:val="24"/>
          <w:vertAlign w:val="superscript"/>
        </w:rPr>
        <w:t>2,4,5</w:t>
      </w:r>
      <w:r w:rsidRPr="00F37D7A">
        <w:rPr>
          <w:sz w:val="24"/>
          <w:szCs w:val="24"/>
        </w:rPr>
        <w:t>; </w:t>
      </w:r>
      <w:proofErr w:type="spellStart"/>
      <w:r w:rsidRPr="00F37D7A">
        <w:rPr>
          <w:sz w:val="24"/>
          <w:szCs w:val="24"/>
        </w:rPr>
        <w:t>Valter</w:t>
      </w:r>
      <w:proofErr w:type="spellEnd"/>
      <w:r w:rsidRPr="00F37D7A">
        <w:rPr>
          <w:sz w:val="24"/>
          <w:szCs w:val="24"/>
        </w:rPr>
        <w:t xml:space="preserve"> D. Longo, PhD</w:t>
      </w:r>
      <w:r w:rsidRPr="00F37D7A">
        <w:rPr>
          <w:sz w:val="24"/>
          <w:szCs w:val="24"/>
          <w:vertAlign w:val="superscript"/>
        </w:rPr>
        <w:t>6,7</w:t>
      </w:r>
      <w:r w:rsidRPr="00F37D7A">
        <w:rPr>
          <w:sz w:val="24"/>
          <w:szCs w:val="24"/>
        </w:rPr>
        <w:t>; Andrew T. Chan, MD, MPH</w:t>
      </w:r>
      <w:r w:rsidRPr="00F37D7A">
        <w:rPr>
          <w:sz w:val="24"/>
          <w:szCs w:val="24"/>
          <w:vertAlign w:val="superscript"/>
        </w:rPr>
        <w:t>1,5,8</w:t>
      </w:r>
      <w:r w:rsidRPr="00F37D7A">
        <w:rPr>
          <w:sz w:val="24"/>
          <w:szCs w:val="24"/>
        </w:rPr>
        <w:t>; Edward L. </w:t>
      </w:r>
      <w:proofErr w:type="spellStart"/>
      <w:r w:rsidRPr="00F37D7A">
        <w:rPr>
          <w:sz w:val="24"/>
          <w:szCs w:val="24"/>
        </w:rPr>
        <w:t>Giovannucci</w:t>
      </w:r>
      <w:proofErr w:type="spellEnd"/>
      <w:r w:rsidRPr="00F37D7A">
        <w:rPr>
          <w:sz w:val="24"/>
          <w:szCs w:val="24"/>
        </w:rPr>
        <w:t>, MD, ScD</w:t>
      </w:r>
      <w:r w:rsidRPr="00F37D7A">
        <w:rPr>
          <w:sz w:val="24"/>
          <w:szCs w:val="24"/>
          <w:vertAlign w:val="superscript"/>
        </w:rPr>
        <w:t>2,4,5</w:t>
      </w:r>
    </w:p>
    <w:p w14:paraId="22CD0788" w14:textId="77777777" w:rsidR="00F37D7A" w:rsidRPr="00F37D7A" w:rsidRDefault="00F37D7A" w:rsidP="00F37D7A">
      <w:pPr>
        <w:rPr>
          <w:sz w:val="24"/>
          <w:szCs w:val="24"/>
        </w:rPr>
      </w:pPr>
      <w:r w:rsidRPr="00F37D7A">
        <w:rPr>
          <w:i/>
          <w:iCs/>
          <w:sz w:val="24"/>
          <w:szCs w:val="24"/>
        </w:rPr>
        <w:t>JAMA Intern Med. </w:t>
      </w:r>
      <w:r w:rsidRPr="00F37D7A">
        <w:rPr>
          <w:sz w:val="24"/>
          <w:szCs w:val="24"/>
        </w:rPr>
        <w:t>2016;176(10):1453-1463. doi:10.1001/jamainternmed.2016.4182</w:t>
      </w:r>
    </w:p>
    <w:p w14:paraId="528D8DA8" w14:textId="77777777" w:rsidR="00F37D7A" w:rsidRPr="00F37D7A" w:rsidRDefault="00F37D7A" w:rsidP="00F37D7A">
      <w:pPr>
        <w:rPr>
          <w:sz w:val="24"/>
          <w:szCs w:val="24"/>
        </w:rPr>
      </w:pPr>
      <w:r w:rsidRPr="00F37D7A">
        <w:rPr>
          <w:sz w:val="24"/>
          <w:szCs w:val="24"/>
        </w:rPr>
        <w:t>Abstract</w:t>
      </w:r>
    </w:p>
    <w:p w14:paraId="1B804112" w14:textId="77777777" w:rsidR="00F37D7A" w:rsidRPr="00F37D7A" w:rsidRDefault="00F37D7A" w:rsidP="00F37D7A">
      <w:pPr>
        <w:rPr>
          <w:sz w:val="24"/>
          <w:szCs w:val="24"/>
        </w:rPr>
      </w:pPr>
      <w:proofErr w:type="gramStart"/>
      <w:r w:rsidRPr="00F37D7A">
        <w:rPr>
          <w:b/>
          <w:bCs/>
          <w:sz w:val="24"/>
          <w:szCs w:val="24"/>
        </w:rPr>
        <w:t>Importance</w:t>
      </w:r>
      <w:r w:rsidRPr="00F37D7A">
        <w:rPr>
          <w:sz w:val="24"/>
          <w:szCs w:val="24"/>
        </w:rPr>
        <w:t>  Defining</w:t>
      </w:r>
      <w:proofErr w:type="gramEnd"/>
      <w:r w:rsidRPr="00F37D7A">
        <w:rPr>
          <w:sz w:val="24"/>
          <w:szCs w:val="24"/>
        </w:rPr>
        <w:t xml:space="preserve"> what represents a </w:t>
      </w:r>
      <w:proofErr w:type="spellStart"/>
      <w:r w:rsidRPr="00F37D7A">
        <w:rPr>
          <w:sz w:val="24"/>
          <w:szCs w:val="24"/>
        </w:rPr>
        <w:t>macronutritionally</w:t>
      </w:r>
      <w:proofErr w:type="spellEnd"/>
      <w:r w:rsidRPr="00F37D7A">
        <w:rPr>
          <w:sz w:val="24"/>
          <w:szCs w:val="24"/>
        </w:rPr>
        <w:t xml:space="preserve"> balanced diet remains an open question and a high priority in nutrition research. Although the amount of protein may have specific effects, from a broader dietary perspective, the choice of protein sources will inevitably influence other components of diet and may be a critical determinant for the health outcome.</w:t>
      </w:r>
    </w:p>
    <w:p w14:paraId="224D1D9E" w14:textId="77777777" w:rsidR="00F37D7A" w:rsidRPr="00F37D7A" w:rsidRDefault="00F37D7A" w:rsidP="00F37D7A">
      <w:pPr>
        <w:rPr>
          <w:sz w:val="24"/>
          <w:szCs w:val="24"/>
        </w:rPr>
      </w:pPr>
      <w:proofErr w:type="gramStart"/>
      <w:r w:rsidRPr="00F37D7A">
        <w:rPr>
          <w:b/>
          <w:bCs/>
          <w:sz w:val="24"/>
          <w:szCs w:val="24"/>
        </w:rPr>
        <w:t>Objective</w:t>
      </w:r>
      <w:r w:rsidRPr="00F37D7A">
        <w:rPr>
          <w:sz w:val="24"/>
          <w:szCs w:val="24"/>
        </w:rPr>
        <w:t>  To</w:t>
      </w:r>
      <w:proofErr w:type="gramEnd"/>
      <w:r w:rsidRPr="00F37D7A">
        <w:rPr>
          <w:sz w:val="24"/>
          <w:szCs w:val="24"/>
        </w:rPr>
        <w:t xml:space="preserve"> examine the associations of animal and plant protein intake with the risk for mortality.</w:t>
      </w:r>
    </w:p>
    <w:p w14:paraId="0375F438" w14:textId="77777777" w:rsidR="00F37D7A" w:rsidRPr="00F37D7A" w:rsidRDefault="00F37D7A" w:rsidP="00F37D7A">
      <w:pPr>
        <w:rPr>
          <w:sz w:val="24"/>
          <w:szCs w:val="24"/>
        </w:rPr>
      </w:pPr>
      <w:r w:rsidRPr="00F37D7A">
        <w:rPr>
          <w:b/>
          <w:bCs/>
          <w:sz w:val="24"/>
          <w:szCs w:val="24"/>
        </w:rPr>
        <w:t xml:space="preserve">Design, Setting, and </w:t>
      </w:r>
      <w:proofErr w:type="gramStart"/>
      <w:r w:rsidRPr="00F37D7A">
        <w:rPr>
          <w:b/>
          <w:bCs/>
          <w:sz w:val="24"/>
          <w:szCs w:val="24"/>
        </w:rPr>
        <w:t>Participants</w:t>
      </w:r>
      <w:r w:rsidRPr="00F37D7A">
        <w:rPr>
          <w:sz w:val="24"/>
          <w:szCs w:val="24"/>
        </w:rPr>
        <w:t>  This</w:t>
      </w:r>
      <w:proofErr w:type="gramEnd"/>
      <w:r w:rsidRPr="00F37D7A">
        <w:rPr>
          <w:sz w:val="24"/>
          <w:szCs w:val="24"/>
        </w:rPr>
        <w:t xml:space="preserve"> prospective cohort study of US health care professionals included 131 342 participants from the Nurses’ Health Study (1980 to end of follow-up on June 1, 2012) and Health Professionals Follow-up Study (1986 to end of follow-up on January 31, 2012). Animal and plant protein intake </w:t>
      </w:r>
      <w:proofErr w:type="gramStart"/>
      <w:r w:rsidRPr="00F37D7A">
        <w:rPr>
          <w:sz w:val="24"/>
          <w:szCs w:val="24"/>
        </w:rPr>
        <w:t>was</w:t>
      </w:r>
      <w:proofErr w:type="gramEnd"/>
      <w:r w:rsidRPr="00F37D7A">
        <w:rPr>
          <w:sz w:val="24"/>
          <w:szCs w:val="24"/>
        </w:rPr>
        <w:t xml:space="preserve"> assessed by regularly updated validated food frequency questionnaires. Data were analyzed from June 20, 2014, to January 18, 2016.</w:t>
      </w:r>
    </w:p>
    <w:p w14:paraId="5F26B633" w14:textId="77777777" w:rsidR="00F37D7A" w:rsidRPr="00F37D7A" w:rsidRDefault="00F37D7A" w:rsidP="00F37D7A">
      <w:pPr>
        <w:rPr>
          <w:sz w:val="24"/>
          <w:szCs w:val="24"/>
        </w:rPr>
      </w:pPr>
      <w:r w:rsidRPr="00F37D7A">
        <w:rPr>
          <w:b/>
          <w:bCs/>
          <w:sz w:val="24"/>
          <w:szCs w:val="24"/>
        </w:rPr>
        <w:t xml:space="preserve">Main Outcomes and </w:t>
      </w:r>
      <w:proofErr w:type="gramStart"/>
      <w:r w:rsidRPr="00F37D7A">
        <w:rPr>
          <w:b/>
          <w:bCs/>
          <w:sz w:val="24"/>
          <w:szCs w:val="24"/>
        </w:rPr>
        <w:t>Measures</w:t>
      </w:r>
      <w:r w:rsidRPr="00F37D7A">
        <w:rPr>
          <w:sz w:val="24"/>
          <w:szCs w:val="24"/>
        </w:rPr>
        <w:t>  Hazard</w:t>
      </w:r>
      <w:proofErr w:type="gramEnd"/>
      <w:r w:rsidRPr="00F37D7A">
        <w:rPr>
          <w:sz w:val="24"/>
          <w:szCs w:val="24"/>
        </w:rPr>
        <w:t xml:space="preserve"> ratios (HRs) for all-cause and cause-specific mortality.</w:t>
      </w:r>
    </w:p>
    <w:p w14:paraId="6B28A2A8" w14:textId="77777777" w:rsidR="00F37D7A" w:rsidRPr="00F37D7A" w:rsidRDefault="00F37D7A" w:rsidP="00F37D7A">
      <w:pPr>
        <w:rPr>
          <w:sz w:val="24"/>
          <w:szCs w:val="24"/>
        </w:rPr>
      </w:pPr>
      <w:proofErr w:type="gramStart"/>
      <w:r w:rsidRPr="00F37D7A">
        <w:rPr>
          <w:b/>
          <w:bCs/>
          <w:sz w:val="24"/>
          <w:szCs w:val="24"/>
        </w:rPr>
        <w:t>Results</w:t>
      </w:r>
      <w:r w:rsidRPr="00F37D7A">
        <w:rPr>
          <w:sz w:val="24"/>
          <w:szCs w:val="24"/>
        </w:rPr>
        <w:t>  Of</w:t>
      </w:r>
      <w:proofErr w:type="gramEnd"/>
      <w:r w:rsidRPr="00F37D7A">
        <w:rPr>
          <w:sz w:val="24"/>
          <w:szCs w:val="24"/>
        </w:rPr>
        <w:t xml:space="preserve"> the 131 342 participants, 85 013 were women (64.7%) and 46 329 were men (35.3%) (mean [SD] age, 49 [9] years). The median protein intake, as assessed by percentage of energy, was 14% for animal protein (5th-95th percentile, 9%-22%) and 4% for plant protein (5th-95th percentile, 2%-6%). After adjusting for major lifestyle and dietary risk factors, animal protein intake was not associated with all-cause mortality (HR, 1.02 per 10% energy increment; 95% CI, 0.98-1.05; </w:t>
      </w:r>
      <w:proofErr w:type="spellStart"/>
      <w:r w:rsidRPr="00F37D7A">
        <w:rPr>
          <w:i/>
          <w:iCs/>
          <w:sz w:val="24"/>
          <w:szCs w:val="24"/>
        </w:rPr>
        <w:t>P</w:t>
      </w:r>
      <w:r w:rsidRPr="00F37D7A">
        <w:rPr>
          <w:sz w:val="24"/>
          <w:szCs w:val="24"/>
        </w:rPr>
        <w:t>for</w:t>
      </w:r>
      <w:proofErr w:type="spellEnd"/>
      <w:r w:rsidRPr="00F37D7A">
        <w:rPr>
          <w:sz w:val="24"/>
          <w:szCs w:val="24"/>
        </w:rPr>
        <w:t xml:space="preserve"> trend = .33) but was associated with higher cardiovascular mortality (HR, 1.08 per 10% energy increment; 95% CI, 1.01-1.16; </w:t>
      </w:r>
      <w:r w:rsidRPr="00F37D7A">
        <w:rPr>
          <w:i/>
          <w:iCs/>
          <w:sz w:val="24"/>
          <w:szCs w:val="24"/>
        </w:rPr>
        <w:t>P</w:t>
      </w:r>
      <w:r w:rsidRPr="00F37D7A">
        <w:rPr>
          <w:sz w:val="24"/>
          <w:szCs w:val="24"/>
        </w:rPr>
        <w:t> for trend = .04). Plant protein was associated with lower all-cause mortality (HR, 0.90 per 3% energy increment; 95% CI, 0.86-0.95; </w:t>
      </w:r>
      <w:r w:rsidRPr="00F37D7A">
        <w:rPr>
          <w:i/>
          <w:iCs/>
          <w:sz w:val="24"/>
          <w:szCs w:val="24"/>
        </w:rPr>
        <w:t>P</w:t>
      </w:r>
      <w:r w:rsidRPr="00F37D7A">
        <w:rPr>
          <w:sz w:val="24"/>
          <w:szCs w:val="24"/>
        </w:rPr>
        <w:t> for trend &lt; .001) and cardiovascular mortality (HR, 0.88 per 3% energy increment; 95% CI, 0.80-0.97; </w:t>
      </w:r>
      <w:r w:rsidRPr="00F37D7A">
        <w:rPr>
          <w:i/>
          <w:iCs/>
          <w:sz w:val="24"/>
          <w:szCs w:val="24"/>
        </w:rPr>
        <w:t>P</w:t>
      </w:r>
      <w:r w:rsidRPr="00F37D7A">
        <w:rPr>
          <w:sz w:val="24"/>
          <w:szCs w:val="24"/>
        </w:rPr>
        <w:t> for trend = .007). These associations were confined to participants with at least 1 unhealthy lifestyle factor based on smoking, heavy alcohol intake, overweight or obesity, and physical inactivity, but not evident among those without any of these risk factors. Replacing animal protein of various origins with plant protein was associated with lower mortality. In particular, the HRs for all-cause mortality were 0.66 (95% CI, 0.59-0.75) when 3% of energy from plant protein was substituted for an equivalent amount of protein from processed red meat, 0.88 (95% CI, 0.84-0.92) from unprocessed red meat, and 0.81 (95% CI, 0.75-0.88) from egg.</w:t>
      </w:r>
    </w:p>
    <w:p w14:paraId="10F508F6" w14:textId="77777777" w:rsidR="00F37D7A" w:rsidRPr="00F37D7A" w:rsidRDefault="00F37D7A" w:rsidP="00F37D7A">
      <w:pPr>
        <w:rPr>
          <w:sz w:val="24"/>
          <w:szCs w:val="24"/>
        </w:rPr>
      </w:pPr>
      <w:r w:rsidRPr="00F37D7A">
        <w:rPr>
          <w:b/>
          <w:bCs/>
          <w:sz w:val="24"/>
          <w:szCs w:val="24"/>
        </w:rPr>
        <w:lastRenderedPageBreak/>
        <w:t xml:space="preserve">Conclusions and </w:t>
      </w:r>
      <w:proofErr w:type="gramStart"/>
      <w:r w:rsidRPr="00F37D7A">
        <w:rPr>
          <w:b/>
          <w:bCs/>
          <w:sz w:val="24"/>
          <w:szCs w:val="24"/>
        </w:rPr>
        <w:t>Relevance</w:t>
      </w:r>
      <w:r w:rsidRPr="00F37D7A">
        <w:rPr>
          <w:sz w:val="24"/>
          <w:szCs w:val="24"/>
        </w:rPr>
        <w:t>  High</w:t>
      </w:r>
      <w:proofErr w:type="gramEnd"/>
      <w:r w:rsidRPr="00F37D7A">
        <w:rPr>
          <w:sz w:val="24"/>
          <w:szCs w:val="24"/>
        </w:rPr>
        <w:t xml:space="preserve"> animal protein intake was positively associated with cardiovascular mortality and high plant protein intake was inversely associated with all-cause and cardiovascular mortality, especially among individuals with at least 1 lifestyle risk factor. Substitution of plant protein for animal protein, especially that from processed red meat, was associated with lower mortality, suggesting the importance of protein source.</w:t>
      </w:r>
    </w:p>
    <w:p w14:paraId="786A2B71" w14:textId="77777777" w:rsidR="00170EBB" w:rsidRPr="00F37D7A" w:rsidRDefault="00170EBB">
      <w:pPr>
        <w:rPr>
          <w:sz w:val="24"/>
          <w:szCs w:val="24"/>
        </w:rPr>
      </w:pPr>
    </w:p>
    <w:sectPr w:rsidR="00170EBB" w:rsidRPr="00F37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20D5"/>
    <w:multiLevelType w:val="multilevel"/>
    <w:tmpl w:val="6FDC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7A"/>
    <w:rsid w:val="00170EBB"/>
    <w:rsid w:val="00F3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89D4"/>
  <w15:chartTrackingRefBased/>
  <w15:docId w15:val="{60131D44-46CF-4485-9DFC-BA7ADF00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D7A"/>
    <w:rPr>
      <w:color w:val="0563C1" w:themeColor="hyperlink"/>
      <w:u w:val="single"/>
    </w:rPr>
  </w:style>
  <w:style w:type="character" w:styleId="UnresolvedMention">
    <w:name w:val="Unresolved Mention"/>
    <w:basedOn w:val="DefaultParagraphFont"/>
    <w:uiPriority w:val="99"/>
    <w:semiHidden/>
    <w:unhideWhenUsed/>
    <w:rsid w:val="00F3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029630">
      <w:bodyDiv w:val="1"/>
      <w:marLeft w:val="0"/>
      <w:marRight w:val="0"/>
      <w:marTop w:val="0"/>
      <w:marBottom w:val="0"/>
      <w:divBdr>
        <w:top w:val="none" w:sz="0" w:space="0" w:color="auto"/>
        <w:left w:val="none" w:sz="0" w:space="0" w:color="auto"/>
        <w:bottom w:val="none" w:sz="0" w:space="0" w:color="auto"/>
        <w:right w:val="none" w:sz="0" w:space="0" w:color="auto"/>
      </w:divBdr>
      <w:divsChild>
        <w:div w:id="1030184157">
          <w:marLeft w:val="0"/>
          <w:marRight w:val="0"/>
          <w:marTop w:val="0"/>
          <w:marBottom w:val="480"/>
          <w:divBdr>
            <w:top w:val="none" w:sz="0" w:space="0" w:color="auto"/>
            <w:left w:val="none" w:sz="0" w:space="0" w:color="auto"/>
            <w:bottom w:val="none" w:sz="0" w:space="0" w:color="auto"/>
            <w:right w:val="none" w:sz="0" w:space="0" w:color="auto"/>
          </w:divBdr>
          <w:divsChild>
            <w:div w:id="901871286">
              <w:marLeft w:val="0"/>
              <w:marRight w:val="0"/>
              <w:marTop w:val="0"/>
              <w:marBottom w:val="0"/>
              <w:divBdr>
                <w:top w:val="none" w:sz="0" w:space="0" w:color="auto"/>
                <w:left w:val="none" w:sz="0" w:space="0" w:color="auto"/>
                <w:bottom w:val="none" w:sz="0" w:space="0" w:color="auto"/>
                <w:right w:val="none" w:sz="0" w:space="0" w:color="auto"/>
              </w:divBdr>
            </w:div>
            <w:div w:id="1192498959">
              <w:marLeft w:val="0"/>
              <w:marRight w:val="0"/>
              <w:marTop w:val="0"/>
              <w:marBottom w:val="180"/>
              <w:divBdr>
                <w:top w:val="none" w:sz="0" w:space="0" w:color="auto"/>
                <w:left w:val="none" w:sz="0" w:space="0" w:color="auto"/>
                <w:bottom w:val="none" w:sz="0" w:space="0" w:color="auto"/>
                <w:right w:val="none" w:sz="0" w:space="0" w:color="auto"/>
              </w:divBdr>
            </w:div>
            <w:div w:id="807473504">
              <w:marLeft w:val="0"/>
              <w:marRight w:val="0"/>
              <w:marTop w:val="0"/>
              <w:marBottom w:val="120"/>
              <w:divBdr>
                <w:top w:val="none" w:sz="0" w:space="0" w:color="auto"/>
                <w:left w:val="none" w:sz="0" w:space="0" w:color="auto"/>
                <w:bottom w:val="none" w:sz="0" w:space="0" w:color="auto"/>
                <w:right w:val="none" w:sz="0" w:space="0" w:color="auto"/>
              </w:divBdr>
            </w:div>
            <w:div w:id="762922157">
              <w:marLeft w:val="0"/>
              <w:marRight w:val="0"/>
              <w:marTop w:val="0"/>
              <w:marBottom w:val="0"/>
              <w:divBdr>
                <w:top w:val="none" w:sz="0" w:space="0" w:color="auto"/>
                <w:left w:val="none" w:sz="0" w:space="0" w:color="auto"/>
                <w:bottom w:val="none" w:sz="0" w:space="0" w:color="auto"/>
                <w:right w:val="none" w:sz="0" w:space="0" w:color="auto"/>
              </w:divBdr>
            </w:div>
          </w:divsChild>
        </w:div>
        <w:div w:id="1092312249">
          <w:marLeft w:val="0"/>
          <w:marRight w:val="0"/>
          <w:marTop w:val="0"/>
          <w:marBottom w:val="0"/>
          <w:divBdr>
            <w:top w:val="none" w:sz="0" w:space="0" w:color="auto"/>
            <w:left w:val="none" w:sz="0" w:space="0" w:color="auto"/>
            <w:bottom w:val="none" w:sz="0" w:space="0" w:color="auto"/>
            <w:right w:val="none" w:sz="0" w:space="0" w:color="auto"/>
          </w:divBdr>
          <w:divsChild>
            <w:div w:id="274604446">
              <w:marLeft w:val="0"/>
              <w:marRight w:val="0"/>
              <w:marTop w:val="0"/>
              <w:marBottom w:val="480"/>
              <w:divBdr>
                <w:top w:val="none" w:sz="0" w:space="0" w:color="auto"/>
                <w:left w:val="none" w:sz="0" w:space="0" w:color="auto"/>
                <w:bottom w:val="none" w:sz="0" w:space="0" w:color="auto"/>
                <w:right w:val="none" w:sz="0" w:space="0" w:color="auto"/>
              </w:divBdr>
              <w:divsChild>
                <w:div w:id="1771581104">
                  <w:marLeft w:val="0"/>
                  <w:marRight w:val="0"/>
                  <w:marTop w:val="0"/>
                  <w:marBottom w:val="0"/>
                  <w:divBdr>
                    <w:top w:val="none" w:sz="0" w:space="0" w:color="auto"/>
                    <w:left w:val="none" w:sz="0" w:space="0" w:color="auto"/>
                    <w:bottom w:val="none" w:sz="0" w:space="0" w:color="auto"/>
                    <w:right w:val="none" w:sz="0" w:space="0" w:color="auto"/>
                  </w:divBdr>
                  <w:divsChild>
                    <w:div w:id="1860967366">
                      <w:marLeft w:val="0"/>
                      <w:marRight w:val="0"/>
                      <w:marTop w:val="0"/>
                      <w:marBottom w:val="0"/>
                      <w:divBdr>
                        <w:top w:val="none" w:sz="0" w:space="0" w:color="auto"/>
                        <w:left w:val="none" w:sz="0" w:space="0" w:color="auto"/>
                        <w:bottom w:val="none" w:sz="0" w:space="0" w:color="auto"/>
                        <w:right w:val="none" w:sz="0" w:space="0" w:color="auto"/>
                      </w:divBdr>
                      <w:divsChild>
                        <w:div w:id="744647113">
                          <w:marLeft w:val="0"/>
                          <w:marRight w:val="0"/>
                          <w:marTop w:val="0"/>
                          <w:marBottom w:val="0"/>
                          <w:divBdr>
                            <w:top w:val="none" w:sz="0" w:space="0" w:color="auto"/>
                            <w:left w:val="none" w:sz="0" w:space="0" w:color="auto"/>
                            <w:bottom w:val="none" w:sz="0" w:space="0" w:color="auto"/>
                            <w:right w:val="none" w:sz="0" w:space="0" w:color="auto"/>
                          </w:divBdr>
                        </w:div>
                      </w:divsChild>
                    </w:div>
                    <w:div w:id="1073939265">
                      <w:marLeft w:val="0"/>
                      <w:marRight w:val="0"/>
                      <w:marTop w:val="0"/>
                      <w:marBottom w:val="0"/>
                      <w:divBdr>
                        <w:top w:val="none" w:sz="0" w:space="0" w:color="auto"/>
                        <w:left w:val="none" w:sz="0" w:space="0" w:color="auto"/>
                        <w:bottom w:val="none" w:sz="0" w:space="0" w:color="auto"/>
                        <w:right w:val="none" w:sz="0" w:space="0" w:color="auto"/>
                      </w:divBdr>
                    </w:div>
                  </w:divsChild>
                </w:div>
                <w:div w:id="858548652">
                  <w:marLeft w:val="0"/>
                  <w:marRight w:val="0"/>
                  <w:marTop w:val="0"/>
                  <w:marBottom w:val="0"/>
                  <w:divBdr>
                    <w:top w:val="none" w:sz="0" w:space="0" w:color="auto"/>
                    <w:left w:val="none" w:sz="0" w:space="0" w:color="auto"/>
                    <w:bottom w:val="none" w:sz="0" w:space="0" w:color="auto"/>
                    <w:right w:val="none" w:sz="0" w:space="0" w:color="auto"/>
                  </w:divBdr>
                  <w:divsChild>
                    <w:div w:id="694965301">
                      <w:marLeft w:val="-15"/>
                      <w:marRight w:val="-15"/>
                      <w:marTop w:val="0"/>
                      <w:marBottom w:val="0"/>
                      <w:divBdr>
                        <w:top w:val="none" w:sz="0" w:space="0" w:color="auto"/>
                        <w:left w:val="none" w:sz="0" w:space="0" w:color="auto"/>
                        <w:bottom w:val="none" w:sz="0" w:space="0" w:color="auto"/>
                        <w:right w:val="none" w:sz="0" w:space="0" w:color="auto"/>
                      </w:divBdr>
                      <w:divsChild>
                        <w:div w:id="1921668984">
                          <w:marLeft w:val="0"/>
                          <w:marRight w:val="0"/>
                          <w:marTop w:val="0"/>
                          <w:marBottom w:val="0"/>
                          <w:divBdr>
                            <w:top w:val="none" w:sz="0" w:space="0" w:color="auto"/>
                            <w:left w:val="none" w:sz="0" w:space="0" w:color="auto"/>
                            <w:bottom w:val="none" w:sz="0" w:space="0" w:color="auto"/>
                            <w:right w:val="none" w:sz="0" w:space="0" w:color="auto"/>
                          </w:divBdr>
                        </w:div>
                      </w:divsChild>
                    </w:div>
                    <w:div w:id="12268075">
                      <w:marLeft w:val="-15"/>
                      <w:marRight w:val="-15"/>
                      <w:marTop w:val="0"/>
                      <w:marBottom w:val="0"/>
                      <w:divBdr>
                        <w:top w:val="none" w:sz="0" w:space="0" w:color="auto"/>
                        <w:left w:val="none" w:sz="0" w:space="0" w:color="auto"/>
                        <w:bottom w:val="none" w:sz="0" w:space="0" w:color="auto"/>
                        <w:right w:val="none" w:sz="0" w:space="0" w:color="auto"/>
                      </w:divBdr>
                      <w:divsChild>
                        <w:div w:id="190724233">
                          <w:marLeft w:val="0"/>
                          <w:marRight w:val="0"/>
                          <w:marTop w:val="0"/>
                          <w:marBottom w:val="0"/>
                          <w:divBdr>
                            <w:top w:val="none" w:sz="0" w:space="0" w:color="auto"/>
                            <w:left w:val="none" w:sz="0" w:space="0" w:color="auto"/>
                            <w:bottom w:val="none" w:sz="0" w:space="0" w:color="auto"/>
                            <w:right w:val="none" w:sz="0" w:space="0" w:color="auto"/>
                          </w:divBdr>
                          <w:divsChild>
                            <w:div w:id="377750999">
                              <w:marLeft w:val="0"/>
                              <w:marRight w:val="0"/>
                              <w:marTop w:val="0"/>
                              <w:marBottom w:val="0"/>
                              <w:divBdr>
                                <w:top w:val="none" w:sz="0" w:space="0" w:color="auto"/>
                                <w:left w:val="none" w:sz="0" w:space="0" w:color="auto"/>
                                <w:bottom w:val="none" w:sz="0" w:space="0" w:color="auto"/>
                                <w:right w:val="none" w:sz="0" w:space="0" w:color="auto"/>
                              </w:divBdr>
                              <w:divsChild>
                                <w:div w:id="1992174882">
                                  <w:marLeft w:val="0"/>
                                  <w:marRight w:val="0"/>
                                  <w:marTop w:val="0"/>
                                  <w:marBottom w:val="84"/>
                                  <w:divBdr>
                                    <w:top w:val="none" w:sz="0" w:space="0" w:color="auto"/>
                                    <w:left w:val="none" w:sz="0" w:space="0" w:color="auto"/>
                                    <w:bottom w:val="none" w:sz="0" w:space="0" w:color="auto"/>
                                    <w:right w:val="none" w:sz="0" w:space="0" w:color="auto"/>
                                  </w:divBdr>
                                  <w:divsChild>
                                    <w:div w:id="67935966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530816">
          <w:marLeft w:val="0"/>
          <w:marRight w:val="0"/>
          <w:marTop w:val="0"/>
          <w:marBottom w:val="0"/>
          <w:divBdr>
            <w:top w:val="none" w:sz="0" w:space="0" w:color="auto"/>
            <w:left w:val="none" w:sz="0" w:space="0" w:color="auto"/>
            <w:bottom w:val="none" w:sz="0" w:space="0" w:color="auto"/>
            <w:right w:val="none" w:sz="0" w:space="0" w:color="auto"/>
          </w:divBdr>
          <w:divsChild>
            <w:div w:id="1170102598">
              <w:marLeft w:val="0"/>
              <w:marRight w:val="0"/>
              <w:marTop w:val="0"/>
              <w:marBottom w:val="480"/>
              <w:divBdr>
                <w:top w:val="none" w:sz="0" w:space="0" w:color="auto"/>
                <w:left w:val="none" w:sz="0" w:space="0" w:color="auto"/>
                <w:bottom w:val="none" w:sz="0" w:space="0" w:color="auto"/>
                <w:right w:val="none" w:sz="0" w:space="0" w:color="auto"/>
              </w:divBdr>
              <w:divsChild>
                <w:div w:id="1739282830">
                  <w:marLeft w:val="0"/>
                  <w:marRight w:val="0"/>
                  <w:marTop w:val="48"/>
                  <w:marBottom w:val="120"/>
                  <w:divBdr>
                    <w:top w:val="none" w:sz="0" w:space="0" w:color="auto"/>
                    <w:left w:val="none" w:sz="0" w:space="0" w:color="auto"/>
                    <w:bottom w:val="none" w:sz="0" w:space="0" w:color="auto"/>
                    <w:right w:val="none" w:sz="0" w:space="0" w:color="auto"/>
                  </w:divBdr>
                  <w:divsChild>
                    <w:div w:id="950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Peters</dc:creator>
  <cp:keywords/>
  <dc:description/>
  <cp:lastModifiedBy>Ron Peters</cp:lastModifiedBy>
  <cp:revision>1</cp:revision>
  <dcterms:created xsi:type="dcterms:W3CDTF">2019-04-21T14:13:00Z</dcterms:created>
  <dcterms:modified xsi:type="dcterms:W3CDTF">2019-04-21T14:18:00Z</dcterms:modified>
</cp:coreProperties>
</file>